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8A" w:rsidRPr="00E040FF" w:rsidRDefault="00780A8A" w:rsidP="00780A8A">
      <w:pPr>
        <w:spacing w:after="120"/>
        <w:jc w:val="center"/>
        <w:rPr>
          <w:rFonts w:asciiTheme="minorHAnsi" w:hAnsiTheme="minorHAnsi" w:cstheme="minorHAnsi"/>
          <w:b/>
          <w:color w:val="1F497D"/>
          <w:sz w:val="32"/>
          <w:szCs w:val="32"/>
        </w:rPr>
      </w:pPr>
      <w:bookmarkStart w:id="0" w:name="_GoBack"/>
      <w:bookmarkEnd w:id="0"/>
      <w:r w:rsidRPr="00E040FF">
        <w:rPr>
          <w:rFonts w:asciiTheme="minorHAnsi" w:hAnsiTheme="minorHAnsi" w:cstheme="minorHAnsi"/>
          <w:b/>
          <w:color w:val="1F497D"/>
          <w:sz w:val="32"/>
          <w:szCs w:val="32"/>
        </w:rPr>
        <w:t>IT​U-EKIP Regionalni regulatorni forum za Evropu</w:t>
      </w:r>
    </w:p>
    <w:p w:rsidR="00780A8A" w:rsidRPr="00E040FF" w:rsidRDefault="00780A8A" w:rsidP="00E040FF">
      <w:pPr>
        <w:spacing w:before="0"/>
        <w:jc w:val="center"/>
        <w:rPr>
          <w:rFonts w:asciiTheme="minorHAnsi" w:hAnsiTheme="minorHAnsi"/>
          <w:b/>
          <w:bCs/>
          <w:i/>
          <w:color w:val="C00000"/>
          <w:sz w:val="32"/>
          <w:szCs w:val="32"/>
        </w:rPr>
      </w:pPr>
      <w:r w:rsidRPr="00E040FF">
        <w:rPr>
          <w:rFonts w:asciiTheme="minorHAnsi" w:hAnsiTheme="minorHAnsi"/>
          <w:b/>
          <w:bCs/>
          <w:i/>
          <w:color w:val="C00000"/>
          <w:sz w:val="32"/>
          <w:szCs w:val="32"/>
        </w:rPr>
        <w:t>Univerzalna povezanost za</w:t>
      </w:r>
    </w:p>
    <w:p w:rsidR="00780A8A" w:rsidRPr="00E040FF" w:rsidRDefault="00780A8A" w:rsidP="00780A8A">
      <w:pPr>
        <w:spacing w:before="0"/>
        <w:jc w:val="center"/>
        <w:rPr>
          <w:rFonts w:asciiTheme="minorHAnsi" w:hAnsiTheme="minorHAnsi"/>
          <w:b/>
          <w:bCs/>
          <w:i/>
          <w:color w:val="C00000"/>
          <w:sz w:val="32"/>
          <w:szCs w:val="32"/>
        </w:rPr>
      </w:pPr>
      <w:r w:rsidRPr="00E040FF">
        <w:rPr>
          <w:rFonts w:asciiTheme="minorHAnsi" w:hAnsiTheme="minorHAnsi"/>
          <w:b/>
          <w:bCs/>
          <w:i/>
          <w:color w:val="C00000"/>
          <w:sz w:val="32"/>
          <w:szCs w:val="32"/>
        </w:rPr>
        <w:t>postpandemijsku digitalnu Evropu</w:t>
      </w:r>
    </w:p>
    <w:p w:rsidR="00780A8A" w:rsidRDefault="00780A8A" w:rsidP="00780A8A">
      <w:pPr>
        <w:jc w:val="center"/>
        <w:rPr>
          <w:rFonts w:cs="Arial"/>
          <w:bCs/>
          <w:color w:val="1F497D"/>
          <w:sz w:val="18"/>
          <w:szCs w:val="18"/>
        </w:rPr>
      </w:pPr>
    </w:p>
    <w:p w:rsidR="00780A8A" w:rsidRPr="00E040FF" w:rsidRDefault="00780A8A" w:rsidP="00780A8A">
      <w:pPr>
        <w:jc w:val="center"/>
        <w:rPr>
          <w:rFonts w:asciiTheme="minorHAnsi" w:hAnsiTheme="minorHAnsi" w:cstheme="minorHAnsi"/>
          <w:bCs/>
          <w:color w:val="1F497D"/>
          <w:sz w:val="18"/>
          <w:szCs w:val="18"/>
        </w:rPr>
      </w:pPr>
      <w:r w:rsidRPr="00E040FF">
        <w:rPr>
          <w:rFonts w:asciiTheme="minorHAnsi" w:hAnsiTheme="minorHAnsi" w:cstheme="minorHAnsi"/>
          <w:bCs/>
          <w:color w:val="1F497D"/>
          <w:sz w:val="18"/>
          <w:szCs w:val="18"/>
        </w:rPr>
        <w:t>Ovaj Regionalni forum za Evropu se organizuje u okviru ITU Regionalne inicijative za Evropu o “Širokopojasnoj infrastrukturi, emitovanju i upravljanju spektrom”, nadovezujući se na ITU Globalni simpozijum za regulatore 2021. Isti organizuju Međunarodna unija za telekomunikacije i Agencija za elektronske komunikacije i poštansku djelatnost (EKIP) Crne Gore.</w:t>
      </w:r>
    </w:p>
    <w:p w:rsidR="00780A8A" w:rsidRPr="00AA45BE" w:rsidRDefault="00780A8A" w:rsidP="00780A8A">
      <w:pPr>
        <w:jc w:val="center"/>
        <w:rPr>
          <w:rFonts w:cs="Arial"/>
          <w:bCs/>
          <w:color w:val="1F497D"/>
          <w:sz w:val="18"/>
          <w:szCs w:val="18"/>
        </w:rPr>
      </w:pPr>
    </w:p>
    <w:p w:rsidR="00780A8A" w:rsidRPr="00AA45BE" w:rsidRDefault="00780A8A" w:rsidP="00780A8A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color w:val="323E4F" w:themeColor="text2" w:themeShade="BF"/>
        </w:rPr>
      </w:pPr>
      <w:r w:rsidRPr="00AA45BE">
        <w:rPr>
          <w:rFonts w:asciiTheme="minorHAnsi" w:hAnsiTheme="minorHAnsi" w:cs="Arial"/>
          <w:b/>
          <w:bCs/>
          <w:color w:val="323E4F" w:themeColor="text2" w:themeShade="BF"/>
        </w:rPr>
        <w:t xml:space="preserve">27 - 28 septembar 2021. godine  | </w:t>
      </w:r>
      <w:r>
        <w:rPr>
          <w:rFonts w:asciiTheme="minorHAnsi" w:hAnsiTheme="minorHAnsi" w:cs="Arial"/>
          <w:b/>
          <w:bCs/>
          <w:color w:val="323E4F" w:themeColor="text2" w:themeShade="BF"/>
        </w:rPr>
        <w:t>Viruelno</w:t>
      </w:r>
    </w:p>
    <w:p w:rsidR="00780A8A" w:rsidRPr="008D742D" w:rsidRDefault="00780A8A" w:rsidP="00780A8A">
      <w:pPr>
        <w:pStyle w:val="Default"/>
        <w:jc w:val="center"/>
        <w:rPr>
          <w:rStyle w:val="Hyperlink"/>
          <w:rFonts w:ascii="Times New Roman" w:hAnsi="Times New Roman" w:cs="Times New Roman"/>
          <w:color w:val="000000"/>
          <w:u w:val="none"/>
        </w:rPr>
      </w:pPr>
      <w:r w:rsidRPr="008D742D">
        <w:rPr>
          <w:rStyle w:val="Hyperlink"/>
          <w:rFonts w:cstheme="minorHAnsi"/>
          <w:iCs/>
          <w:sz w:val="18"/>
          <w:szCs w:val="18"/>
        </w:rPr>
        <w:t xml:space="preserve"> http://www.itu.int/go/ELZ1</w:t>
      </w:r>
    </w:p>
    <w:p w:rsidR="00780A8A" w:rsidRDefault="00780A8A" w:rsidP="00780A8A">
      <w:pPr>
        <w:pStyle w:val="Default"/>
        <w:jc w:val="center"/>
      </w:pPr>
      <w:r w:rsidRPr="00AA45BE">
        <w:t xml:space="preserve"> </w:t>
      </w:r>
    </w:p>
    <w:p w:rsidR="00780A8A" w:rsidRPr="00AA45BE" w:rsidRDefault="00780A8A" w:rsidP="00780A8A">
      <w:pPr>
        <w:pStyle w:val="Default"/>
        <w:jc w:val="center"/>
        <w:rPr>
          <w:rFonts w:cs="Arial"/>
          <w:b/>
          <w:color w:val="1F497D"/>
          <w:sz w:val="28"/>
          <w:szCs w:val="28"/>
          <w:lang w:val="en-GB"/>
        </w:rPr>
      </w:pPr>
      <w:r>
        <w:rPr>
          <w:rFonts w:asciiTheme="minorHAnsi" w:hAnsiTheme="minorHAnsi" w:cs="Arial"/>
          <w:b/>
          <w:bCs/>
          <w:color w:val="323E4F" w:themeColor="text2" w:themeShade="BF"/>
          <w:sz w:val="28"/>
          <w:szCs w:val="28"/>
        </w:rPr>
        <w:t>Nacrt AGENDE</w:t>
      </w:r>
    </w:p>
    <w:p w:rsidR="00780A8A" w:rsidRPr="003722BD" w:rsidRDefault="00780A8A" w:rsidP="00780A8A">
      <w:pPr>
        <w:tabs>
          <w:tab w:val="center" w:pos="4819"/>
        </w:tabs>
        <w:rPr>
          <w:rFonts w:cs="Arial"/>
          <w:b/>
          <w:color w:val="1F497D"/>
          <w:sz w:val="6"/>
          <w:szCs w:val="8"/>
        </w:rPr>
      </w:pPr>
    </w:p>
    <w:p w:rsidR="00780A8A" w:rsidRDefault="00780A8A" w:rsidP="00780A8A">
      <w:pPr>
        <w:pStyle w:val="Event"/>
        <w:spacing w:line="276" w:lineRule="auto"/>
        <w:rPr>
          <w:b/>
          <w:bCs/>
          <w:color w:val="365F91"/>
          <w:sz w:val="22"/>
          <w:lang w:val="cs-CZ"/>
        </w:rPr>
      </w:pPr>
    </w:p>
    <w:p w:rsidR="00780A8A" w:rsidRPr="00780A8A" w:rsidRDefault="00780A8A" w:rsidP="00780A8A">
      <w:pPr>
        <w:pStyle w:val="Event"/>
        <w:spacing w:line="276" w:lineRule="auto"/>
        <w:rPr>
          <w:b/>
          <w:bCs/>
          <w:color w:val="365F91"/>
          <w:sz w:val="22"/>
          <w:lang w:val="cs-CZ"/>
        </w:rPr>
      </w:pPr>
      <w:r w:rsidRPr="00780A8A">
        <w:rPr>
          <w:b/>
          <w:bCs/>
          <w:color w:val="365F91"/>
          <w:sz w:val="22"/>
          <w:lang w:val="cs-CZ"/>
        </w:rPr>
        <w:t>Ponedjeljak | 27. septembar 2021. godine</w:t>
      </w:r>
    </w:p>
    <w:tbl>
      <w:tblPr>
        <w:tblW w:w="907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7404"/>
      </w:tblGrid>
      <w:tr w:rsidR="00780A8A" w:rsidRPr="009B6F92" w:rsidTr="00FE119A">
        <w:tc>
          <w:tcPr>
            <w:tcW w:w="16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pl-PL"/>
              </w:rPr>
            </w:pPr>
            <w:r>
              <w:rPr>
                <w:b/>
                <w:bCs/>
                <w:color w:val="365F91"/>
                <w:lang w:val="pl-PL"/>
              </w:rPr>
              <w:t>*</w:t>
            </w:r>
            <w:r w:rsidRPr="009B6F92">
              <w:rPr>
                <w:b/>
                <w:bCs/>
                <w:color w:val="365F91"/>
                <w:lang w:val="pl-PL"/>
              </w:rPr>
              <w:t>[</w:t>
            </w:r>
            <w:r>
              <w:rPr>
                <w:b/>
                <w:bCs/>
                <w:color w:val="365F91"/>
                <w:lang w:val="pl-PL"/>
              </w:rPr>
              <w:t>9:45</w:t>
            </w:r>
            <w:r w:rsidRPr="009B6F92">
              <w:rPr>
                <w:b/>
                <w:bCs/>
                <w:color w:val="365F91"/>
                <w:lang w:val="pl-PL"/>
              </w:rPr>
              <w:t xml:space="preserve"> 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 xml:space="preserve">– 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10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00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]</w:t>
            </w:r>
          </w:p>
        </w:tc>
        <w:tc>
          <w:tcPr>
            <w:tcW w:w="74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40215C" w:rsidRDefault="00780A8A" w:rsidP="00FE119A">
            <w:pPr>
              <w:pStyle w:val="Event"/>
              <w:spacing w:line="276" w:lineRule="auto"/>
              <w:rPr>
                <w:b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Virtualno umrežavanje</w:t>
            </w:r>
          </w:p>
        </w:tc>
      </w:tr>
      <w:tr w:rsidR="00780A8A" w:rsidRPr="005B30FF" w:rsidTr="00FE119A">
        <w:trPr>
          <w:trHeight w:val="835"/>
        </w:trPr>
        <w:tc>
          <w:tcPr>
            <w:tcW w:w="1668" w:type="dxa"/>
            <w:tcBorders>
              <w:top w:val="single" w:sz="8" w:space="0" w:color="4F81BD"/>
              <w:left w:val="nil"/>
              <w:right w:val="nil"/>
            </w:tcBorders>
            <w:shd w:val="clear" w:color="auto" w:fill="FFFFFF" w:themeFill="background1"/>
          </w:tcPr>
          <w:p w:rsidR="00780A8A" w:rsidRDefault="00780A8A" w:rsidP="00FE119A">
            <w:pPr>
              <w:pStyle w:val="Event"/>
              <w:spacing w:line="276" w:lineRule="auto"/>
              <w:rPr>
                <w:color w:val="365F91"/>
              </w:rPr>
            </w:pPr>
            <w:r w:rsidRPr="0029492F">
              <w:rPr>
                <w:b/>
                <w:bCs/>
                <w:color w:val="365F91"/>
                <w:lang w:val="cs-CZ"/>
              </w:rPr>
              <w:t>[10:00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00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  <w:p w:rsidR="00780A8A" w:rsidRDefault="00780A8A" w:rsidP="00FE119A"/>
          <w:p w:rsidR="00780A8A" w:rsidRPr="008A017D" w:rsidRDefault="00780A8A" w:rsidP="00FE119A">
            <w:pPr>
              <w:tabs>
                <w:tab w:val="left" w:pos="1332"/>
              </w:tabs>
            </w:pPr>
            <w:r>
              <w:tab/>
            </w:r>
          </w:p>
        </w:tc>
        <w:tc>
          <w:tcPr>
            <w:tcW w:w="7404" w:type="dxa"/>
            <w:tcBorders>
              <w:top w:val="single" w:sz="8" w:space="0" w:color="4F81BD"/>
              <w:left w:val="nil"/>
            </w:tcBorders>
            <w:shd w:val="clear" w:color="auto" w:fill="FFFFFF" w:themeFill="background1"/>
            <w:hideMark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Ceremonija otvaranja</w:t>
            </w:r>
          </w:p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Obraćanje Evropske Komisije</w:t>
            </w:r>
          </w:p>
          <w:p w:rsidR="00780A8A" w:rsidRPr="008A017D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Pozdravni govori od strane prisutnih rukovodilaca nac</w:t>
            </w:r>
            <w:r w:rsidRPr="00BC142A">
              <w:rPr>
                <w:b/>
                <w:bCs/>
                <w:color w:val="365F91"/>
                <w:lang w:val="cs-CZ"/>
              </w:rPr>
              <w:t>ional</w:t>
            </w:r>
            <w:r>
              <w:rPr>
                <w:b/>
                <w:bCs/>
                <w:color w:val="365F91"/>
                <w:lang w:val="cs-CZ"/>
              </w:rPr>
              <w:t xml:space="preserve">nih regulatornih tijela 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743233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00</w:t>
            </w:r>
            <w:r w:rsidRPr="009B6F92">
              <w:rPr>
                <w:b/>
                <w:bCs/>
                <w:color w:val="365F91"/>
                <w:lang w:val="cs-CZ"/>
              </w:rPr>
              <w:t xml:space="preserve"> – 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10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5E2F0D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Pauza za kafu</w:t>
            </w:r>
            <w:r w:rsidRPr="00953A13">
              <w:rPr>
                <w:b/>
                <w:bCs/>
                <w:color w:val="365F91"/>
                <w:lang w:val="cs-CZ"/>
              </w:rPr>
              <w:t xml:space="preserve"> 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743233">
              <w:rPr>
                <w:b/>
                <w:bCs/>
                <w:color w:val="365F91"/>
                <w:lang w:val="cs-CZ"/>
              </w:rPr>
              <w:t>[11:</w:t>
            </w:r>
            <w:r>
              <w:rPr>
                <w:b/>
                <w:bCs/>
                <w:color w:val="365F91"/>
                <w:lang w:val="cs-CZ"/>
              </w:rPr>
              <w:t>10</w:t>
            </w:r>
            <w:r w:rsidRPr="00743233">
              <w:rPr>
                <w:b/>
                <w:bCs/>
                <w:color w:val="365F91"/>
                <w:lang w:val="cs-CZ"/>
              </w:rPr>
              <w:t xml:space="preserve"> 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30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780A8A" w:rsidRDefault="003E58BF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Globalni trendovi i ITU GSR-21 S</w:t>
            </w:r>
            <w:r w:rsidR="00780A8A">
              <w:rPr>
                <w:b/>
                <w:bCs/>
                <w:color w:val="365F91"/>
                <w:lang w:val="cs-CZ"/>
              </w:rPr>
              <w:t>mjernice najbolje prakse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780A8A" w:rsidRPr="00743233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743233">
              <w:rPr>
                <w:b/>
                <w:bCs/>
                <w:color w:val="365F91"/>
                <w:lang w:val="cs-CZ"/>
              </w:rPr>
              <w:t>[11:</w:t>
            </w:r>
            <w:r>
              <w:rPr>
                <w:b/>
                <w:bCs/>
                <w:color w:val="365F91"/>
                <w:lang w:val="cs-CZ"/>
              </w:rPr>
              <w:t>10</w:t>
            </w:r>
            <w:r w:rsidRPr="00743233">
              <w:rPr>
                <w:b/>
                <w:bCs/>
                <w:color w:val="365F91"/>
                <w:lang w:val="cs-CZ"/>
              </w:rPr>
              <w:t xml:space="preserve"> 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2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45</w:t>
            </w:r>
            <w:r w:rsidRPr="00743233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:rsidR="00065303" w:rsidRDefault="00065303" w:rsidP="00065303">
            <w:pPr>
              <w:pStyle w:val="Event"/>
              <w:spacing w:line="276" w:lineRule="auto"/>
              <w:jc w:val="both"/>
              <w:rPr>
                <w:b/>
                <w:bCs/>
                <w:iCs/>
                <w:color w:val="365F91"/>
              </w:rPr>
            </w:pPr>
            <w:r w:rsidRPr="004F1E3A">
              <w:rPr>
                <w:b/>
                <w:bCs/>
                <w:iCs/>
                <w:color w:val="365F91"/>
              </w:rPr>
              <w:t xml:space="preserve">Sesija 1: </w:t>
            </w:r>
            <w:r>
              <w:rPr>
                <w:b/>
                <w:bCs/>
                <w:iCs/>
                <w:color w:val="365F91"/>
              </w:rPr>
              <w:t>Politički i regulatorni podsticaji</w:t>
            </w:r>
            <w:r w:rsidRPr="004F1E3A">
              <w:rPr>
                <w:b/>
                <w:bCs/>
                <w:iCs/>
                <w:color w:val="365F91"/>
              </w:rPr>
              <w:t xml:space="preserve"> za pristupačno i robusno povezivanje</w:t>
            </w:r>
            <w:r>
              <w:rPr>
                <w:b/>
                <w:bCs/>
                <w:iCs/>
                <w:color w:val="365F91"/>
              </w:rPr>
              <w:t xml:space="preserve"> “posljednjeg kilometra”</w:t>
            </w:r>
          </w:p>
          <w:p w:rsidR="00780A8A" w:rsidRPr="00C16E5A" w:rsidRDefault="00065303" w:rsidP="00065303">
            <w:pPr>
              <w:pStyle w:val="Event"/>
              <w:spacing w:line="276" w:lineRule="auto"/>
              <w:jc w:val="both"/>
              <w:rPr>
                <w:iCs/>
                <w:color w:val="365F91"/>
                <w:u w:val="single"/>
              </w:rPr>
            </w:pPr>
            <w:r w:rsidRPr="00C16E5A">
              <w:rPr>
                <w:bCs/>
                <w:iCs/>
                <w:color w:val="365F91"/>
              </w:rPr>
              <w:t>Novi poslovni modeli potrebni su kako bi se osigurala bolja pristupačnosti i po</w:t>
            </w:r>
            <w:r>
              <w:rPr>
                <w:bCs/>
                <w:iCs/>
                <w:color w:val="365F91"/>
              </w:rPr>
              <w:t>vezivanje, uz posebnu pažnju</w:t>
            </w:r>
            <w:r w:rsidRPr="00C16E5A">
              <w:rPr>
                <w:bCs/>
                <w:iCs/>
                <w:color w:val="365F91"/>
              </w:rPr>
              <w:t xml:space="preserve"> </w:t>
            </w:r>
            <w:r>
              <w:rPr>
                <w:bCs/>
                <w:iCs/>
                <w:color w:val="365F91"/>
              </w:rPr>
              <w:t xml:space="preserve">na “posljednji kilometar” veze. Osim </w:t>
            </w:r>
            <w:r w:rsidRPr="00C16E5A">
              <w:rPr>
                <w:bCs/>
                <w:iCs/>
                <w:color w:val="365F91"/>
              </w:rPr>
              <w:t>vanrednih mjera koje su preduzete tokom izbijanja pandemije, panelisti će raspravljati o novim rješenjima u smislu političkih mjera i regulatornih podsticaja za poveća</w:t>
            </w:r>
            <w:r>
              <w:rPr>
                <w:bCs/>
                <w:iCs/>
                <w:color w:val="365F91"/>
              </w:rPr>
              <w:t>nje pristupačnosti i prihvatanja</w:t>
            </w:r>
            <w:r w:rsidRPr="00C16E5A">
              <w:rPr>
                <w:bCs/>
                <w:iCs/>
                <w:color w:val="365F91"/>
              </w:rPr>
              <w:t>.</w:t>
            </w:r>
          </w:p>
        </w:tc>
      </w:tr>
      <w:tr w:rsidR="00780A8A" w:rsidRPr="009B6F92" w:rsidTr="00FE119A">
        <w:tc>
          <w:tcPr>
            <w:tcW w:w="16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[1</w:t>
            </w:r>
            <w:r>
              <w:rPr>
                <w:b/>
                <w:bCs/>
                <w:color w:val="365F91"/>
                <w:lang w:val="cs-CZ"/>
              </w:rPr>
              <w:t>2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45</w:t>
            </w:r>
            <w:r w:rsidRPr="009B6F92">
              <w:rPr>
                <w:b/>
                <w:bCs/>
                <w:color w:val="365F91"/>
                <w:lang w:val="cs-CZ"/>
              </w:rPr>
              <w:t xml:space="preserve"> – 1</w:t>
            </w:r>
            <w:r>
              <w:rPr>
                <w:b/>
                <w:bCs/>
                <w:color w:val="365F91"/>
                <w:lang w:val="cs-CZ"/>
              </w:rPr>
              <w:t>3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00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53A13" w:rsidRDefault="00780A8A" w:rsidP="00FE119A">
            <w:pPr>
              <w:pStyle w:val="Event"/>
              <w:spacing w:line="276" w:lineRule="auto"/>
              <w:jc w:val="both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Zaključci 1. dana</w:t>
            </w:r>
            <w:r>
              <w:rPr>
                <w:b/>
                <w:bCs/>
                <w:color w:val="365F91"/>
                <w:lang w:val="cs-CZ"/>
              </w:rPr>
              <w:t xml:space="preserve"> </w:t>
            </w:r>
          </w:p>
        </w:tc>
      </w:tr>
    </w:tbl>
    <w:p w:rsidR="00780A8A" w:rsidRPr="00E040FF" w:rsidRDefault="00780A8A" w:rsidP="00780A8A">
      <w:pPr>
        <w:pStyle w:val="Event"/>
        <w:spacing w:line="276" w:lineRule="auto"/>
        <w:rPr>
          <w:bCs/>
          <w:color w:val="2E74B5" w:themeColor="accent1" w:themeShade="BF"/>
          <w:szCs w:val="18"/>
          <w:lang w:val="en-GB"/>
        </w:rPr>
      </w:pPr>
      <w:r w:rsidRPr="00E040FF">
        <w:rPr>
          <w:bCs/>
          <w:color w:val="365F91"/>
          <w:szCs w:val="18"/>
          <w:lang w:val="cs-CZ"/>
        </w:rPr>
        <w:t>*  vremenska zona CEST (UTC+2)</w:t>
      </w:r>
    </w:p>
    <w:p w:rsidR="00780A8A" w:rsidRDefault="00780A8A" w:rsidP="00780A8A">
      <w:pPr>
        <w:pStyle w:val="Event"/>
        <w:spacing w:line="276" w:lineRule="auto"/>
        <w:rPr>
          <w:b/>
          <w:color w:val="2E74B5" w:themeColor="accent1" w:themeShade="BF"/>
          <w:sz w:val="24"/>
          <w:szCs w:val="28"/>
          <w:lang w:val="en-GB"/>
        </w:rPr>
      </w:pPr>
      <w:r>
        <w:rPr>
          <w:b/>
          <w:color w:val="2E74B5" w:themeColor="accent1" w:themeShade="BF"/>
          <w:sz w:val="24"/>
          <w:szCs w:val="28"/>
          <w:lang w:val="en-GB"/>
        </w:rPr>
        <w:br/>
      </w:r>
      <w:r w:rsidRPr="00780A8A">
        <w:rPr>
          <w:b/>
          <w:bCs/>
          <w:color w:val="365F91"/>
          <w:sz w:val="22"/>
          <w:lang w:val="cs-CZ"/>
        </w:rPr>
        <w:t>Utorak | 28. septembar 2021. godine</w:t>
      </w:r>
    </w:p>
    <w:tbl>
      <w:tblPr>
        <w:tblW w:w="9095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72"/>
        <w:gridCol w:w="7423"/>
      </w:tblGrid>
      <w:tr w:rsidR="00780A8A" w:rsidRPr="0040215C" w:rsidTr="00FE119A">
        <w:trPr>
          <w:trHeight w:val="252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9B6F92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pl-PL"/>
              </w:rPr>
            </w:pPr>
            <w:r>
              <w:rPr>
                <w:b/>
                <w:bCs/>
                <w:color w:val="365F91"/>
                <w:lang w:val="pl-PL"/>
              </w:rPr>
              <w:t>*</w:t>
            </w:r>
            <w:r w:rsidRPr="009B6F92">
              <w:rPr>
                <w:b/>
                <w:bCs/>
                <w:color w:val="365F91"/>
                <w:lang w:val="pl-PL"/>
              </w:rPr>
              <w:t>[</w:t>
            </w:r>
            <w:r>
              <w:rPr>
                <w:b/>
                <w:bCs/>
                <w:color w:val="365F91"/>
                <w:lang w:val="pl-PL"/>
              </w:rPr>
              <w:t>9:45</w:t>
            </w:r>
            <w:r w:rsidRPr="009B6F92">
              <w:rPr>
                <w:b/>
                <w:bCs/>
                <w:color w:val="365F91"/>
                <w:lang w:val="pl-PL"/>
              </w:rPr>
              <w:t xml:space="preserve"> 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 xml:space="preserve">– 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10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pl-PL"/>
              </w:rPr>
              <w:t>00</w:t>
            </w:r>
            <w:r w:rsidRPr="009B6F92">
              <w:rPr>
                <w:rStyle w:val="PlaceholderText"/>
                <w:b/>
                <w:bCs/>
                <w:color w:val="365F91"/>
                <w:lang w:val="pl-PL"/>
              </w:rPr>
              <w:t>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EEAF6" w:themeFill="accent1" w:themeFillTint="33"/>
            <w:hideMark/>
          </w:tcPr>
          <w:p w:rsidR="00780A8A" w:rsidRPr="0040215C" w:rsidRDefault="00780A8A" w:rsidP="00FE119A">
            <w:pPr>
              <w:pStyle w:val="Event"/>
              <w:spacing w:line="276" w:lineRule="auto"/>
              <w:rPr>
                <w:b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Virtuelno umrežavanje</w:t>
            </w:r>
            <w:r w:rsidRPr="0040215C">
              <w:rPr>
                <w:b/>
                <w:color w:val="365F91"/>
                <w:lang w:val="cs-CZ"/>
              </w:rPr>
              <w:t xml:space="preserve"> </w:t>
            </w:r>
          </w:p>
        </w:tc>
      </w:tr>
      <w:tr w:rsidR="00780A8A" w:rsidRPr="00BA6DE5" w:rsidTr="00FE119A">
        <w:trPr>
          <w:trHeight w:val="458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[10:00 – 10:15]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427D29">
              <w:rPr>
                <w:b/>
                <w:bCs/>
                <w:color w:val="365F91"/>
                <w:lang w:val="cs-CZ"/>
              </w:rPr>
              <w:t>Sesija 2: Implementacija 5G -a: strategije, politike i propisi koji ubrzavaju implementaciju mobilne povezanosti</w:t>
            </w:r>
          </w:p>
          <w:p w:rsidR="00780A8A" w:rsidRPr="00C16E5A" w:rsidRDefault="00780A8A" w:rsidP="00FE119A">
            <w:pPr>
              <w:pStyle w:val="Event"/>
              <w:spacing w:line="276" w:lineRule="auto"/>
              <w:rPr>
                <w:bCs/>
                <w:color w:val="365F91"/>
                <w:lang w:val="cs-CZ"/>
              </w:rPr>
            </w:pPr>
            <w:r w:rsidRPr="00C16E5A">
              <w:rPr>
                <w:bCs/>
                <w:color w:val="365F91"/>
                <w:lang w:val="cs-CZ"/>
              </w:rPr>
              <w:t>Sesija će imati cjelovit pristup implementaciji 5G -a, fokusirajući se na ishode i sljedeće strateške korake nakon aukcija spektra, uključujući najbolje prakse iz procesa savjetovanja, razvoj inovacijskih ekosistema te slučajeve korišćenja i poslovne modele za razvoj tržišta.</w:t>
            </w:r>
          </w:p>
        </w:tc>
      </w:tr>
      <w:tr w:rsidR="00780A8A" w:rsidRPr="00BA6DE5" w:rsidTr="00FE119A">
        <w:trPr>
          <w:trHeight w:val="322"/>
        </w:trPr>
        <w:tc>
          <w:tcPr>
            <w:tcW w:w="167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743233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15</w:t>
            </w:r>
            <w:r w:rsidRPr="009B6F92">
              <w:rPr>
                <w:b/>
                <w:bCs/>
                <w:color w:val="365F91"/>
                <w:lang w:val="cs-CZ"/>
              </w:rPr>
              <w:t xml:space="preserve"> – 1</w:t>
            </w:r>
            <w:r>
              <w:rPr>
                <w:b/>
                <w:bCs/>
                <w:color w:val="365F91"/>
                <w:lang w:val="cs-CZ"/>
              </w:rPr>
              <w:t>1</w:t>
            </w:r>
            <w:r w:rsidRPr="009B6F92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>30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2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5E2F0D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t>Pauza za kafu</w:t>
            </w:r>
            <w:r w:rsidRPr="00953A13">
              <w:rPr>
                <w:b/>
                <w:bCs/>
                <w:color w:val="365F91"/>
                <w:lang w:val="cs-CZ"/>
              </w:rPr>
              <w:t xml:space="preserve"> </w:t>
            </w:r>
          </w:p>
        </w:tc>
      </w:tr>
      <w:tr w:rsidR="00780A8A" w:rsidRPr="00BA6DE5" w:rsidTr="00FE119A">
        <w:trPr>
          <w:trHeight w:val="48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color w:val="365F91"/>
              </w:rPr>
            </w:pPr>
            <w:r>
              <w:rPr>
                <w:b/>
                <w:bCs/>
                <w:color w:val="365F91"/>
                <w:lang w:val="cs-CZ"/>
              </w:rPr>
              <w:t>[11</w:t>
            </w:r>
            <w:r w:rsidRPr="0029492F">
              <w:rPr>
                <w:b/>
                <w:bCs/>
                <w:color w:val="365F91"/>
                <w:lang w:val="cs-CZ"/>
              </w:rPr>
              <w:t>:</w:t>
            </w:r>
            <w:r>
              <w:rPr>
                <w:b/>
                <w:bCs/>
                <w:color w:val="365F91"/>
                <w:lang w:val="cs-CZ"/>
              </w:rPr>
              <w:t xml:space="preserve">30 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– 1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1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:</w:t>
            </w:r>
            <w:r>
              <w:rPr>
                <w:rStyle w:val="PlaceholderText"/>
                <w:b/>
                <w:bCs/>
                <w:color w:val="365F91"/>
                <w:lang w:val="cs-CZ"/>
              </w:rPr>
              <w:t>45</w:t>
            </w:r>
            <w:r w:rsidRPr="0029492F">
              <w:rPr>
                <w:rStyle w:val="PlaceholderText"/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  <w:hideMark/>
          </w:tcPr>
          <w:p w:rsidR="00780A8A" w:rsidRPr="00C16E5A" w:rsidRDefault="00780A8A" w:rsidP="00FE119A">
            <w:pPr>
              <w:pStyle w:val="Event"/>
              <w:spacing w:line="276" w:lineRule="auto"/>
              <w:jc w:val="both"/>
              <w:rPr>
                <w:b/>
                <w:bCs/>
                <w:color w:val="365F91"/>
                <w:lang w:val="cs-CZ"/>
              </w:rPr>
            </w:pPr>
            <w:r w:rsidRPr="00C16E5A">
              <w:rPr>
                <w:b/>
                <w:bCs/>
                <w:color w:val="365F91"/>
                <w:lang w:val="cs-CZ"/>
              </w:rPr>
              <w:t>ITU smjernice za mapiranje širokopojasnog pristupa: putokaz z</w:t>
            </w:r>
            <w:r>
              <w:rPr>
                <w:b/>
                <w:bCs/>
                <w:color w:val="365F91"/>
                <w:lang w:val="cs-CZ"/>
              </w:rPr>
              <w:t>a regulatornu reformu i sprovođenje na osnovu</w:t>
            </w:r>
            <w:r w:rsidRPr="00C16E5A">
              <w:rPr>
                <w:b/>
                <w:bCs/>
                <w:color w:val="365F91"/>
                <w:lang w:val="cs-CZ"/>
              </w:rPr>
              <w:t xml:space="preserve"> podataka (TBD)</w:t>
            </w:r>
          </w:p>
        </w:tc>
      </w:tr>
      <w:tr w:rsidR="00780A8A" w:rsidRPr="00BA6DE5" w:rsidTr="00FE119A">
        <w:trPr>
          <w:trHeight w:val="529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bCs/>
                <w:color w:val="365F91"/>
                <w:lang w:val="cs-CZ"/>
              </w:rPr>
              <w:lastRenderedPageBreak/>
              <w:t>[11:45 – 12:45]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 w:themeFill="background1"/>
          </w:tcPr>
          <w:p w:rsidR="00780A8A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C16E5A">
              <w:rPr>
                <w:b/>
                <w:bCs/>
                <w:color w:val="365F91"/>
                <w:lang w:val="cs-CZ"/>
              </w:rPr>
              <w:t xml:space="preserve">Sesija 3: Od analize tržišta do vizualizacije tržišta: pogodno okruženje za regulaciju </w:t>
            </w:r>
            <w:r w:rsidR="00065303">
              <w:rPr>
                <w:b/>
                <w:bCs/>
                <w:color w:val="365F91"/>
                <w:lang w:val="cs-CZ"/>
              </w:rPr>
              <w:t>koja se zasnova</w:t>
            </w:r>
            <w:r>
              <w:rPr>
                <w:b/>
                <w:bCs/>
                <w:color w:val="365F91"/>
                <w:lang w:val="cs-CZ"/>
              </w:rPr>
              <w:t xml:space="preserve"> na </w:t>
            </w:r>
            <w:r w:rsidRPr="00590FD2">
              <w:rPr>
                <w:b/>
                <w:bCs/>
                <w:color w:val="365F91"/>
                <w:lang w:val="cs-CZ"/>
              </w:rPr>
              <w:t>dokazima</w:t>
            </w:r>
          </w:p>
          <w:p w:rsidR="00780A8A" w:rsidRPr="0016771C" w:rsidRDefault="00780A8A" w:rsidP="00FE119A">
            <w:pPr>
              <w:pStyle w:val="Event"/>
              <w:spacing w:line="276" w:lineRule="auto"/>
              <w:rPr>
                <w:bCs/>
                <w:color w:val="365F91"/>
                <w:lang w:val="cs-CZ"/>
              </w:rPr>
            </w:pPr>
            <w:r w:rsidRPr="0016771C">
              <w:rPr>
                <w:bCs/>
                <w:color w:val="365F91"/>
                <w:lang w:val="cs-CZ"/>
              </w:rPr>
              <w:t xml:space="preserve">Donošenje </w:t>
            </w:r>
            <w:r w:rsidRPr="00590FD2">
              <w:rPr>
                <w:bCs/>
                <w:color w:val="365F91"/>
                <w:lang w:val="cs-CZ"/>
              </w:rPr>
              <w:t>odluka zasnovanih na dokazima</w:t>
            </w:r>
            <w:r w:rsidRPr="0016771C">
              <w:rPr>
                <w:bCs/>
                <w:color w:val="365F91"/>
                <w:lang w:val="cs-CZ"/>
              </w:rPr>
              <w:t xml:space="preserve"> sve je više u središtu regulatorne politike, pružajući uvid u stanje mreža i informativne odluke. Ova sesija će istražiti kako nacionalni regulatorni organi koriste ili planiraju koristiti širokopojasno mapiranje i druge alate za podršku postizanju ciljeva politike na nivou država.</w:t>
            </w:r>
          </w:p>
        </w:tc>
      </w:tr>
      <w:tr w:rsidR="00780A8A" w:rsidRPr="00BA6DE5" w:rsidTr="00FE119A">
        <w:trPr>
          <w:trHeight w:val="252"/>
        </w:trPr>
        <w:tc>
          <w:tcPr>
            <w:tcW w:w="1672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 w:rsidRPr="009B6F92">
              <w:rPr>
                <w:b/>
                <w:bCs/>
                <w:color w:val="365F91"/>
                <w:lang w:val="cs-CZ"/>
              </w:rPr>
              <w:t>[</w:t>
            </w:r>
            <w:r>
              <w:rPr>
                <w:b/>
                <w:bCs/>
                <w:color w:val="365F91"/>
                <w:lang w:val="cs-CZ"/>
              </w:rPr>
              <w:t>12.45 – 13</w:t>
            </w:r>
            <w:r>
              <w:rPr>
                <w:b/>
                <w:bCs/>
                <w:color w:val="365F91"/>
                <w:lang w:val="en-GB"/>
              </w:rPr>
              <w:t>:00</w:t>
            </w:r>
            <w:r w:rsidRPr="009B6F92">
              <w:rPr>
                <w:b/>
                <w:bCs/>
                <w:color w:val="365F91"/>
                <w:lang w:val="cs-CZ"/>
              </w:rPr>
              <w:t>]</w:t>
            </w:r>
          </w:p>
        </w:tc>
        <w:tc>
          <w:tcPr>
            <w:tcW w:w="7423" w:type="dxa"/>
            <w:tcBorders>
              <w:top w:val="single" w:sz="8" w:space="0" w:color="4F81BD"/>
              <w:left w:val="nil"/>
              <w:bottom w:val="single" w:sz="4" w:space="0" w:color="4F81BD"/>
              <w:right w:val="nil"/>
            </w:tcBorders>
            <w:shd w:val="clear" w:color="auto" w:fill="DEEAF6" w:themeFill="accent1" w:themeFillTint="33"/>
          </w:tcPr>
          <w:p w:rsidR="00780A8A" w:rsidRPr="0029492F" w:rsidRDefault="00780A8A" w:rsidP="00FE119A">
            <w:pPr>
              <w:pStyle w:val="Event"/>
              <w:spacing w:line="276" w:lineRule="auto"/>
              <w:rPr>
                <w:b/>
                <w:bCs/>
                <w:color w:val="365F91"/>
                <w:lang w:val="cs-CZ"/>
              </w:rPr>
            </w:pPr>
            <w:r>
              <w:rPr>
                <w:b/>
                <w:color w:val="365F91"/>
                <w:lang w:val="cs-CZ"/>
              </w:rPr>
              <w:t>Zaključci i budući koraci</w:t>
            </w:r>
          </w:p>
        </w:tc>
      </w:tr>
    </w:tbl>
    <w:p w:rsidR="00780A8A" w:rsidRPr="00E01B11" w:rsidRDefault="00780A8A" w:rsidP="00780A8A">
      <w:pPr>
        <w:rPr>
          <w:b/>
          <w:bCs/>
        </w:rPr>
      </w:pPr>
    </w:p>
    <w:p w:rsidR="00780A8A" w:rsidRPr="00D94EAF" w:rsidRDefault="00780A8A" w:rsidP="00780A8A">
      <w:pPr>
        <w:jc w:val="both"/>
        <w:rPr>
          <w:rFonts w:cstheme="minorHAnsi"/>
          <w:lang w:val="sr-Latn-CS"/>
        </w:rPr>
      </w:pPr>
    </w:p>
    <w:p w:rsidR="00780A8A" w:rsidRPr="004D7427" w:rsidRDefault="00780A8A" w:rsidP="00780A8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780A8A" w:rsidRPr="004D7427" w:rsidRDefault="00780A8A" w:rsidP="00780A8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:rsidR="00F26918" w:rsidRPr="004D0C13" w:rsidRDefault="00F26918" w:rsidP="004D0C13"/>
    <w:sectPr w:rsidR="00F26918" w:rsidRPr="004D0C13" w:rsidSect="00C949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575" w:right="992" w:bottom="993" w:left="1134" w:header="567" w:footer="1251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5E" w:rsidRDefault="0094065E" w:rsidP="00BC5EA7">
      <w:pPr>
        <w:spacing w:before="0"/>
      </w:pPr>
      <w:r>
        <w:separator/>
      </w:r>
    </w:p>
  </w:endnote>
  <w:endnote w:type="continuationSeparator" w:id="0">
    <w:p w:rsidR="0094065E" w:rsidRDefault="0094065E" w:rsidP="00BC5E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0A" w:rsidRDefault="00634FB9">
    <w:pPr>
      <w:pStyle w:val="Footer"/>
    </w:pPr>
    <w:r w:rsidRPr="00F93A0A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2540</wp:posOffset>
          </wp:positionV>
          <wp:extent cx="2867025" cy="656590"/>
          <wp:effectExtent l="0" t="0" r="9525" b="0"/>
          <wp:wrapNone/>
          <wp:docPr id="15" name="Picture 15" descr="Bildergebnis für s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A0A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3171190" cy="838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699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3642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5B9BD5" w:themeColor="accent1"/>
      </w:rPr>
    </w:sdtEndPr>
    <w:sdtContent>
      <w:p w:rsidR="00830892" w:rsidRPr="00830892" w:rsidRDefault="00830892" w:rsidP="00830892">
        <w:pPr>
          <w:pStyle w:val="Footer"/>
          <w:jc w:val="center"/>
          <w:rPr>
            <w:rFonts w:asciiTheme="minorHAnsi" w:hAnsiTheme="minorHAnsi"/>
            <w:color w:val="5B9BD5" w:themeColor="accent1"/>
          </w:rPr>
        </w:pPr>
        <w:r w:rsidRPr="00830892">
          <w:rPr>
            <w:rFonts w:asciiTheme="minorHAnsi" w:hAnsiTheme="minorHAnsi"/>
            <w:noProof/>
            <w:color w:val="5B9BD5" w:themeColor="accent1"/>
          </w:rPr>
          <w:t xml:space="preserve">– </w:t>
        </w:r>
        <w:r w:rsidR="000A26B7" w:rsidRPr="00830892">
          <w:rPr>
            <w:rFonts w:asciiTheme="minorHAnsi" w:hAnsiTheme="minorHAnsi"/>
            <w:color w:val="5B9BD5" w:themeColor="accent1"/>
          </w:rPr>
          <w:fldChar w:fldCharType="begin"/>
        </w:r>
        <w:r w:rsidRPr="00830892">
          <w:rPr>
            <w:rFonts w:asciiTheme="minorHAnsi" w:hAnsiTheme="minorHAnsi"/>
            <w:color w:val="5B9BD5" w:themeColor="accent1"/>
          </w:rPr>
          <w:instrText xml:space="preserve"> PAGE   \* MERGEFORMAT </w:instrText>
        </w:r>
        <w:r w:rsidR="000A26B7" w:rsidRPr="00830892">
          <w:rPr>
            <w:rFonts w:asciiTheme="minorHAnsi" w:hAnsiTheme="minorHAnsi"/>
            <w:color w:val="5B9BD5" w:themeColor="accent1"/>
          </w:rPr>
          <w:fldChar w:fldCharType="separate"/>
        </w:r>
        <w:r w:rsidR="005857BE">
          <w:rPr>
            <w:rFonts w:asciiTheme="minorHAnsi" w:hAnsiTheme="minorHAnsi"/>
            <w:noProof/>
            <w:color w:val="5B9BD5" w:themeColor="accent1"/>
          </w:rPr>
          <w:t>1</w:t>
        </w:r>
        <w:r w:rsidR="000A26B7" w:rsidRPr="00830892">
          <w:rPr>
            <w:rFonts w:asciiTheme="minorHAnsi" w:hAnsiTheme="minorHAnsi"/>
            <w:noProof/>
            <w:color w:val="5B9BD5" w:themeColor="accent1"/>
          </w:rPr>
          <w:fldChar w:fldCharType="end"/>
        </w:r>
        <w:r w:rsidRPr="00830892">
          <w:rPr>
            <w:rFonts w:asciiTheme="minorHAnsi" w:hAnsiTheme="minorHAnsi"/>
            <w:noProof/>
            <w:color w:val="5B9BD5" w:themeColor="accent1"/>
          </w:rPr>
          <w:t xml:space="preserve"> –</w:t>
        </w:r>
      </w:p>
    </w:sdtContent>
  </w:sdt>
  <w:p w:rsidR="00830892" w:rsidRDefault="008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5E" w:rsidRDefault="0094065E" w:rsidP="00BC5EA7">
      <w:pPr>
        <w:spacing w:before="0"/>
      </w:pPr>
      <w:r>
        <w:separator/>
      </w:r>
    </w:p>
  </w:footnote>
  <w:footnote w:type="continuationSeparator" w:id="0">
    <w:p w:rsidR="0094065E" w:rsidRDefault="0094065E" w:rsidP="00BC5E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6E" w:rsidRPr="00B046F8" w:rsidRDefault="00531883" w:rsidP="00722D6E">
    <w:pPr>
      <w:pStyle w:val="Header"/>
      <w:rPr>
        <w:rFonts w:ascii="Calibri" w:hAnsi="Calibri"/>
        <w:szCs w:val="18"/>
      </w:rPr>
    </w:pPr>
    <w:r w:rsidRPr="00B046F8">
      <w:rPr>
        <w:rFonts w:ascii="Calibri" w:hAnsi="Calibri"/>
        <w:szCs w:val="18"/>
      </w:rPr>
      <w:t xml:space="preserve">- </w:t>
    </w:r>
    <w:r w:rsidR="000A26B7" w:rsidRPr="00B046F8">
      <w:rPr>
        <w:rFonts w:ascii="Calibri" w:hAnsi="Calibri"/>
        <w:szCs w:val="18"/>
      </w:rPr>
      <w:fldChar w:fldCharType="begin"/>
    </w:r>
    <w:r w:rsidRPr="00B046F8">
      <w:rPr>
        <w:rFonts w:ascii="Calibri" w:hAnsi="Calibri"/>
        <w:szCs w:val="18"/>
      </w:rPr>
      <w:instrText xml:space="preserve"> PAGE   \* MERGEFORMAT </w:instrText>
    </w:r>
    <w:r w:rsidR="000A26B7" w:rsidRPr="00B046F8">
      <w:rPr>
        <w:rFonts w:ascii="Calibri" w:hAnsi="Calibri"/>
        <w:szCs w:val="18"/>
      </w:rPr>
      <w:fldChar w:fldCharType="separate"/>
    </w:r>
    <w:r>
      <w:rPr>
        <w:rFonts w:ascii="Calibri" w:hAnsi="Calibri"/>
        <w:noProof/>
        <w:szCs w:val="18"/>
      </w:rPr>
      <w:t>4</w:t>
    </w:r>
    <w:r w:rsidR="000A26B7" w:rsidRPr="00B046F8">
      <w:rPr>
        <w:rFonts w:ascii="Calibri" w:hAnsi="Calibri"/>
        <w:noProof/>
        <w:szCs w:val="18"/>
      </w:rPr>
      <w:fldChar w:fldCharType="end"/>
    </w:r>
    <w:r w:rsidRPr="00B046F8">
      <w:rPr>
        <w:rFonts w:ascii="Calibri" w:hAnsi="Calibri"/>
        <w:noProof/>
        <w:szCs w:val="18"/>
      </w:rPr>
      <w:t xml:space="preserve"> -</w:t>
    </w:r>
    <w:r>
      <w:rPr>
        <w:rFonts w:ascii="Calibri" w:hAnsi="Calibri"/>
        <w:noProof/>
        <w:szCs w:val="18"/>
      </w:rPr>
      <w:br/>
      <w:t>TSB Circular 51  |  BDT Circular CL015</w:t>
    </w:r>
  </w:p>
  <w:p w:rsidR="00722D6E" w:rsidRPr="006C3102" w:rsidRDefault="00722D6E" w:rsidP="00722D6E">
    <w:pPr>
      <w:pStyle w:val="Head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F9" w:rsidRDefault="00C949D8" w:rsidP="00727F9A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GB"/>
      </w:rPr>
    </w:pPr>
    <w:r w:rsidRPr="003D16E5">
      <w:rPr>
        <w:rFonts w:ascii="Calibri" w:hAnsi="Calibri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3096491</wp:posOffset>
          </wp:positionH>
          <wp:positionV relativeFrom="paragraph">
            <wp:posOffset>34578</wp:posOffset>
          </wp:positionV>
          <wp:extent cx="436419" cy="322992"/>
          <wp:effectExtent l="0" t="0" r="1905" b="1270"/>
          <wp:wrapNone/>
          <wp:docPr id="1" name="Picture 1" descr="AT logo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 logo memorand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19" cy="322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AF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2322368</wp:posOffset>
          </wp:positionH>
          <wp:positionV relativeFrom="paragraph">
            <wp:posOffset>-16395</wp:posOffset>
          </wp:positionV>
          <wp:extent cx="378974" cy="419100"/>
          <wp:effectExtent l="0" t="0" r="2540" b="0"/>
          <wp:wrapNone/>
          <wp:docPr id="14" name="Picture 14" descr="Bildergebnis für itu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itu logo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7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714" w:rsidRDefault="00DF2714" w:rsidP="00C949D8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>
      <w:rPr>
        <w:rFonts w:ascii="Calibri" w:hAnsi="Calibri" w:cs="Calibri"/>
        <w:color w:val="5B9BD5" w:themeColor="accent1"/>
        <w:lang w:val="en-US"/>
      </w:rPr>
      <w:t>Međunarodna unija za telekomunikacije</w:t>
    </w:r>
    <w:r w:rsidR="00727F9A" w:rsidRPr="00830892">
      <w:rPr>
        <w:rFonts w:ascii="Calibri" w:hAnsi="Calibri" w:cs="Calibri"/>
        <w:color w:val="5B9BD5" w:themeColor="accent1"/>
        <w:lang w:val="en-US"/>
      </w:rPr>
      <w:t xml:space="preserve">                                                                                           </w:t>
    </w:r>
    <w:r w:rsidR="00C949D8" w:rsidRPr="00C949D8">
      <w:rPr>
        <w:rFonts w:ascii="Calibri" w:hAnsi="Calibri" w:cs="Calibri"/>
        <w:color w:val="5B9BD5" w:themeColor="accent1"/>
        <w:lang w:val="en-US"/>
      </w:rPr>
      <w:t>Agen</w:t>
    </w:r>
    <w:r>
      <w:rPr>
        <w:rFonts w:ascii="Calibri" w:hAnsi="Calibri" w:cs="Calibri"/>
        <w:color w:val="5B9BD5" w:themeColor="accent1"/>
        <w:lang w:val="en-US"/>
      </w:rPr>
      <w:t>cija za elektronske komunikacije i</w:t>
    </w:r>
  </w:p>
  <w:p w:rsidR="00C949D8" w:rsidRPr="00C949D8" w:rsidRDefault="00DF2714" w:rsidP="00C949D8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</w:r>
    <w:r>
      <w:rPr>
        <w:rFonts w:ascii="Calibri" w:hAnsi="Calibri" w:cs="Calibri"/>
        <w:color w:val="5B9BD5" w:themeColor="accent1"/>
        <w:lang w:val="en-US"/>
      </w:rPr>
      <w:tab/>
      <w:t xml:space="preserve">    poštansku djelatnost </w:t>
    </w:r>
    <w:r w:rsidR="00C949D8" w:rsidRPr="00C949D8">
      <w:rPr>
        <w:rFonts w:ascii="Calibri" w:hAnsi="Calibri" w:cs="Calibri"/>
        <w:color w:val="5B9BD5" w:themeColor="accent1"/>
        <w:lang w:val="en-US"/>
      </w:rPr>
      <w:t>- EKIP</w:t>
    </w:r>
  </w:p>
  <w:p w:rsidR="00DD7812" w:rsidRDefault="00DD7812" w:rsidP="00215AF9">
    <w:pPr>
      <w:pStyle w:val="Header"/>
      <w:pBdr>
        <w:bottom w:val="single" w:sz="4" w:space="1" w:color="5B9BD5" w:themeColor="accent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2" w:rsidRPr="00830892" w:rsidRDefault="00830892" w:rsidP="00830892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color w:val="5B9BD5" w:themeColor="accent1"/>
        <w:lang w:val="en-US"/>
      </w:rPr>
    </w:pPr>
    <w:r w:rsidRPr="00830892">
      <w:rPr>
        <w:rFonts w:ascii="Calibri" w:hAnsi="Calibri" w:cs="Calibri"/>
        <w:color w:val="5B9BD5" w:themeColor="accent1"/>
        <w:lang w:val="en-US"/>
      </w:rPr>
      <w:t xml:space="preserve">International Telecommunication Union                                                                                                International Telecommunication Union </w:t>
    </w:r>
  </w:p>
  <w:p w:rsidR="00722D6E" w:rsidRPr="00830892" w:rsidRDefault="00830892" w:rsidP="00722D6E">
    <w:pPr>
      <w:pStyle w:val="Header"/>
      <w:tabs>
        <w:tab w:val="left" w:pos="4335"/>
        <w:tab w:val="center" w:pos="4819"/>
      </w:tabs>
      <w:jc w:val="left"/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E4D"/>
    <w:multiLevelType w:val="hybridMultilevel"/>
    <w:tmpl w:val="645A5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0B36F2"/>
    <w:multiLevelType w:val="hybridMultilevel"/>
    <w:tmpl w:val="1D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10"/>
    <w:multiLevelType w:val="hybridMultilevel"/>
    <w:tmpl w:val="52C6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E4C"/>
    <w:multiLevelType w:val="hybridMultilevel"/>
    <w:tmpl w:val="ACB89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74F2F"/>
    <w:multiLevelType w:val="hybridMultilevel"/>
    <w:tmpl w:val="2C1A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6E7"/>
    <w:multiLevelType w:val="hybridMultilevel"/>
    <w:tmpl w:val="86FC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F1472"/>
    <w:multiLevelType w:val="hybridMultilevel"/>
    <w:tmpl w:val="3ADEA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1006B"/>
    <w:multiLevelType w:val="hybridMultilevel"/>
    <w:tmpl w:val="62DABDEE"/>
    <w:lvl w:ilvl="0" w:tplc="47E8E3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12D0"/>
    <w:multiLevelType w:val="hybridMultilevel"/>
    <w:tmpl w:val="CAE41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371E3"/>
    <w:multiLevelType w:val="hybridMultilevel"/>
    <w:tmpl w:val="C9B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59D0"/>
    <w:multiLevelType w:val="hybridMultilevel"/>
    <w:tmpl w:val="AECC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A28F2"/>
    <w:multiLevelType w:val="hybridMultilevel"/>
    <w:tmpl w:val="1DFC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43EBC"/>
    <w:multiLevelType w:val="hybridMultilevel"/>
    <w:tmpl w:val="F63E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B630D"/>
    <w:multiLevelType w:val="hybridMultilevel"/>
    <w:tmpl w:val="5E44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448D7"/>
    <w:multiLevelType w:val="hybridMultilevel"/>
    <w:tmpl w:val="59CA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138A5"/>
    <w:multiLevelType w:val="hybridMultilevel"/>
    <w:tmpl w:val="57E69FB8"/>
    <w:lvl w:ilvl="0" w:tplc="C994A6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7067"/>
    <w:multiLevelType w:val="hybridMultilevel"/>
    <w:tmpl w:val="D34E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161D"/>
    <w:multiLevelType w:val="hybridMultilevel"/>
    <w:tmpl w:val="DD742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834F3"/>
    <w:multiLevelType w:val="hybridMultilevel"/>
    <w:tmpl w:val="FEB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6007"/>
    <w:multiLevelType w:val="hybridMultilevel"/>
    <w:tmpl w:val="73FAC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A706D"/>
    <w:multiLevelType w:val="hybridMultilevel"/>
    <w:tmpl w:val="B35C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6"/>
  </w:num>
  <w:num w:numId="5">
    <w:abstractNumId w:val="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18"/>
  </w:num>
  <w:num w:numId="15">
    <w:abstractNumId w:val="2"/>
  </w:num>
  <w:num w:numId="16">
    <w:abstractNumId w:val="3"/>
  </w:num>
  <w:num w:numId="17">
    <w:abstractNumId w:val="0"/>
  </w:num>
  <w:num w:numId="18">
    <w:abstractNumId w:val="20"/>
  </w:num>
  <w:num w:numId="19">
    <w:abstractNumId w:val="4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A7"/>
    <w:rsid w:val="00005848"/>
    <w:rsid w:val="00017B90"/>
    <w:rsid w:val="000226BC"/>
    <w:rsid w:val="000251D7"/>
    <w:rsid w:val="0003563C"/>
    <w:rsid w:val="00045B8A"/>
    <w:rsid w:val="00065303"/>
    <w:rsid w:val="000724DD"/>
    <w:rsid w:val="000861C3"/>
    <w:rsid w:val="00086AE5"/>
    <w:rsid w:val="000A0C5D"/>
    <w:rsid w:val="000A26B7"/>
    <w:rsid w:val="000A6B38"/>
    <w:rsid w:val="001178B6"/>
    <w:rsid w:val="00136FF9"/>
    <w:rsid w:val="001616B9"/>
    <w:rsid w:val="001B5884"/>
    <w:rsid w:val="001E1400"/>
    <w:rsid w:val="001E1C7E"/>
    <w:rsid w:val="001E22B0"/>
    <w:rsid w:val="001E7A65"/>
    <w:rsid w:val="001F0A4A"/>
    <w:rsid w:val="00215AF9"/>
    <w:rsid w:val="002210DF"/>
    <w:rsid w:val="00223E7E"/>
    <w:rsid w:val="00231DC7"/>
    <w:rsid w:val="00254147"/>
    <w:rsid w:val="00257B55"/>
    <w:rsid w:val="00261DDE"/>
    <w:rsid w:val="0026274E"/>
    <w:rsid w:val="002644B1"/>
    <w:rsid w:val="00264B42"/>
    <w:rsid w:val="00270B76"/>
    <w:rsid w:val="00280257"/>
    <w:rsid w:val="00280794"/>
    <w:rsid w:val="002877A1"/>
    <w:rsid w:val="002A13C3"/>
    <w:rsid w:val="002B6F89"/>
    <w:rsid w:val="002D320F"/>
    <w:rsid w:val="0030128A"/>
    <w:rsid w:val="0031006C"/>
    <w:rsid w:val="0031266A"/>
    <w:rsid w:val="0031648A"/>
    <w:rsid w:val="003303D9"/>
    <w:rsid w:val="003428DE"/>
    <w:rsid w:val="00354B1D"/>
    <w:rsid w:val="00383544"/>
    <w:rsid w:val="00384986"/>
    <w:rsid w:val="0039487B"/>
    <w:rsid w:val="003A0CCC"/>
    <w:rsid w:val="003C3F1B"/>
    <w:rsid w:val="003C5E76"/>
    <w:rsid w:val="003C6BB3"/>
    <w:rsid w:val="003D0448"/>
    <w:rsid w:val="003E58BF"/>
    <w:rsid w:val="003F72E8"/>
    <w:rsid w:val="00412915"/>
    <w:rsid w:val="0041481E"/>
    <w:rsid w:val="00425EF2"/>
    <w:rsid w:val="004270E9"/>
    <w:rsid w:val="004434AA"/>
    <w:rsid w:val="00445940"/>
    <w:rsid w:val="00453B69"/>
    <w:rsid w:val="004736F8"/>
    <w:rsid w:val="004802D1"/>
    <w:rsid w:val="00480C7E"/>
    <w:rsid w:val="00485AA9"/>
    <w:rsid w:val="00490461"/>
    <w:rsid w:val="004962E5"/>
    <w:rsid w:val="004D0C13"/>
    <w:rsid w:val="004E25CF"/>
    <w:rsid w:val="004E582D"/>
    <w:rsid w:val="004E7A58"/>
    <w:rsid w:val="004F1EE8"/>
    <w:rsid w:val="004F4F94"/>
    <w:rsid w:val="0050503E"/>
    <w:rsid w:val="00514E8C"/>
    <w:rsid w:val="00531883"/>
    <w:rsid w:val="00536F1C"/>
    <w:rsid w:val="0054043E"/>
    <w:rsid w:val="005517D5"/>
    <w:rsid w:val="00561343"/>
    <w:rsid w:val="005857BE"/>
    <w:rsid w:val="00590FD2"/>
    <w:rsid w:val="005967AA"/>
    <w:rsid w:val="005C1DFC"/>
    <w:rsid w:val="005D11DE"/>
    <w:rsid w:val="005D575C"/>
    <w:rsid w:val="005F134C"/>
    <w:rsid w:val="006009A8"/>
    <w:rsid w:val="0060185B"/>
    <w:rsid w:val="00601E79"/>
    <w:rsid w:val="00604D48"/>
    <w:rsid w:val="00614D2B"/>
    <w:rsid w:val="00627632"/>
    <w:rsid w:val="006305E0"/>
    <w:rsid w:val="00634FB9"/>
    <w:rsid w:val="006578BE"/>
    <w:rsid w:val="0066790E"/>
    <w:rsid w:val="00674AD5"/>
    <w:rsid w:val="00675EBB"/>
    <w:rsid w:val="00682018"/>
    <w:rsid w:val="006B7C0C"/>
    <w:rsid w:val="006C2F03"/>
    <w:rsid w:val="006C3713"/>
    <w:rsid w:val="006C5DBA"/>
    <w:rsid w:val="006C6D37"/>
    <w:rsid w:val="006E0790"/>
    <w:rsid w:val="006E7967"/>
    <w:rsid w:val="0071495E"/>
    <w:rsid w:val="00722D6E"/>
    <w:rsid w:val="00726946"/>
    <w:rsid w:val="00727F9A"/>
    <w:rsid w:val="0073548D"/>
    <w:rsid w:val="00740EC4"/>
    <w:rsid w:val="00742725"/>
    <w:rsid w:val="0075462E"/>
    <w:rsid w:val="007556CD"/>
    <w:rsid w:val="00776923"/>
    <w:rsid w:val="00780A8A"/>
    <w:rsid w:val="00786F5F"/>
    <w:rsid w:val="007A76B6"/>
    <w:rsid w:val="007C54BD"/>
    <w:rsid w:val="007D4D5B"/>
    <w:rsid w:val="007E73D7"/>
    <w:rsid w:val="00804BB4"/>
    <w:rsid w:val="00806B4A"/>
    <w:rsid w:val="00811713"/>
    <w:rsid w:val="00814931"/>
    <w:rsid w:val="00830892"/>
    <w:rsid w:val="00863F2A"/>
    <w:rsid w:val="00863FF9"/>
    <w:rsid w:val="00877247"/>
    <w:rsid w:val="008900DB"/>
    <w:rsid w:val="008915CF"/>
    <w:rsid w:val="008A167A"/>
    <w:rsid w:val="008A6E84"/>
    <w:rsid w:val="008C3768"/>
    <w:rsid w:val="008D742D"/>
    <w:rsid w:val="008D7A9E"/>
    <w:rsid w:val="00922A99"/>
    <w:rsid w:val="0094065E"/>
    <w:rsid w:val="00950504"/>
    <w:rsid w:val="009555F7"/>
    <w:rsid w:val="00975189"/>
    <w:rsid w:val="00983596"/>
    <w:rsid w:val="009912CB"/>
    <w:rsid w:val="00992AE7"/>
    <w:rsid w:val="00995B0B"/>
    <w:rsid w:val="009978E2"/>
    <w:rsid w:val="009A412B"/>
    <w:rsid w:val="009C0B60"/>
    <w:rsid w:val="009D2988"/>
    <w:rsid w:val="00A057A8"/>
    <w:rsid w:val="00A06FAD"/>
    <w:rsid w:val="00A10ED1"/>
    <w:rsid w:val="00A16808"/>
    <w:rsid w:val="00A17421"/>
    <w:rsid w:val="00A26E9B"/>
    <w:rsid w:val="00A3278E"/>
    <w:rsid w:val="00A51A1B"/>
    <w:rsid w:val="00A61226"/>
    <w:rsid w:val="00A70BD5"/>
    <w:rsid w:val="00A73FF8"/>
    <w:rsid w:val="00A77D5F"/>
    <w:rsid w:val="00A815C9"/>
    <w:rsid w:val="00A840FF"/>
    <w:rsid w:val="00A9069A"/>
    <w:rsid w:val="00A9389B"/>
    <w:rsid w:val="00AD6F5E"/>
    <w:rsid w:val="00AF6257"/>
    <w:rsid w:val="00B11F54"/>
    <w:rsid w:val="00B2622B"/>
    <w:rsid w:val="00B3267A"/>
    <w:rsid w:val="00B83184"/>
    <w:rsid w:val="00B8504B"/>
    <w:rsid w:val="00B8635D"/>
    <w:rsid w:val="00B96B7A"/>
    <w:rsid w:val="00BB1550"/>
    <w:rsid w:val="00BC23F3"/>
    <w:rsid w:val="00BC5EA7"/>
    <w:rsid w:val="00BE7E24"/>
    <w:rsid w:val="00BF7103"/>
    <w:rsid w:val="00C07045"/>
    <w:rsid w:val="00C07E4B"/>
    <w:rsid w:val="00C35E70"/>
    <w:rsid w:val="00C5503C"/>
    <w:rsid w:val="00C72B10"/>
    <w:rsid w:val="00C92C26"/>
    <w:rsid w:val="00C949D8"/>
    <w:rsid w:val="00CA2D29"/>
    <w:rsid w:val="00CB58FA"/>
    <w:rsid w:val="00D22363"/>
    <w:rsid w:val="00D55E16"/>
    <w:rsid w:val="00D567C1"/>
    <w:rsid w:val="00D74723"/>
    <w:rsid w:val="00D86B33"/>
    <w:rsid w:val="00D904C7"/>
    <w:rsid w:val="00DA15A5"/>
    <w:rsid w:val="00DA5619"/>
    <w:rsid w:val="00DB64AF"/>
    <w:rsid w:val="00DD7812"/>
    <w:rsid w:val="00DE097D"/>
    <w:rsid w:val="00DF2714"/>
    <w:rsid w:val="00E040FF"/>
    <w:rsid w:val="00E0698B"/>
    <w:rsid w:val="00E1561A"/>
    <w:rsid w:val="00E25BBF"/>
    <w:rsid w:val="00E31963"/>
    <w:rsid w:val="00E37D55"/>
    <w:rsid w:val="00E532C9"/>
    <w:rsid w:val="00E64D26"/>
    <w:rsid w:val="00E67B5D"/>
    <w:rsid w:val="00E72A91"/>
    <w:rsid w:val="00E8575E"/>
    <w:rsid w:val="00E93A90"/>
    <w:rsid w:val="00EA61B8"/>
    <w:rsid w:val="00EE679B"/>
    <w:rsid w:val="00F007CF"/>
    <w:rsid w:val="00F05699"/>
    <w:rsid w:val="00F14F14"/>
    <w:rsid w:val="00F26918"/>
    <w:rsid w:val="00F31383"/>
    <w:rsid w:val="00F6316B"/>
    <w:rsid w:val="00F66B76"/>
    <w:rsid w:val="00F76085"/>
    <w:rsid w:val="00F85BBB"/>
    <w:rsid w:val="00F86D4D"/>
    <w:rsid w:val="00F9396E"/>
    <w:rsid w:val="00F93A0A"/>
    <w:rsid w:val="00FA3516"/>
    <w:rsid w:val="00FC0923"/>
    <w:rsid w:val="00FF655E"/>
    <w:rsid w:val="00FF6934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308F8-7480-4856-A475-7E88C45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63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C5EA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320"/>
      <w:ind w:left="794" w:hanging="794"/>
      <w:outlineLvl w:val="1"/>
    </w:pPr>
    <w:rPr>
      <w:rFonts w:ascii="Times New Roman" w:eastAsia="SimSu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EA7"/>
    <w:rPr>
      <w:rFonts w:ascii="Times New Roman" w:eastAsia="SimSun" w:hAnsi="Times New Roman" w:cs="Times New Roman"/>
      <w:b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BC5EA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rFonts w:ascii="Times New Roman" w:eastAsia="SimSun" w:hAnsi="Times New Roman" w:cs="Times New Roman"/>
      <w:sz w:val="18"/>
      <w:szCs w:val="20"/>
      <w:lang w:val="fr-FR" w:eastAsia="en-US"/>
    </w:rPr>
  </w:style>
  <w:style w:type="character" w:styleId="Hyperlink">
    <w:name w:val="Hyperlink"/>
    <w:uiPriority w:val="99"/>
    <w:rsid w:val="00BC5EA7"/>
    <w:rPr>
      <w:color w:val="0000FF"/>
      <w:u w:val="single"/>
    </w:rPr>
  </w:style>
  <w:style w:type="paragraph" w:customStyle="1" w:styleId="FirstFooter">
    <w:name w:val="FirstFooter"/>
    <w:basedOn w:val="Footer"/>
    <w:rsid w:val="00BC5EA7"/>
    <w:pPr>
      <w:tabs>
        <w:tab w:val="clear" w:pos="4680"/>
        <w:tab w:val="clear" w:pos="9360"/>
      </w:tabs>
      <w:spacing w:before="40"/>
    </w:pPr>
    <w:rPr>
      <w:sz w:val="16"/>
      <w:lang w:val="fr-FR"/>
    </w:rPr>
  </w:style>
  <w:style w:type="character" w:styleId="PageNumber">
    <w:name w:val="page number"/>
    <w:basedOn w:val="DefaultParagraphFont"/>
    <w:rsid w:val="00BC5EA7"/>
  </w:style>
  <w:style w:type="paragraph" w:styleId="ListParagraph">
    <w:name w:val="List Paragraph"/>
    <w:basedOn w:val="Normal"/>
    <w:link w:val="ListParagraphChar"/>
    <w:qFormat/>
    <w:rsid w:val="00BC5EA7"/>
    <w:pPr>
      <w:ind w:left="720"/>
      <w:contextualSpacing/>
    </w:pPr>
  </w:style>
  <w:style w:type="character" w:styleId="PlaceholderText">
    <w:name w:val="Placeholder Text"/>
    <w:uiPriority w:val="99"/>
    <w:semiHidden/>
    <w:rsid w:val="00BC5EA7"/>
    <w:rPr>
      <w:color w:val="808080"/>
    </w:rPr>
  </w:style>
  <w:style w:type="paragraph" w:customStyle="1" w:styleId="Event">
    <w:name w:val="Event"/>
    <w:basedOn w:val="Normal"/>
    <w:qFormat/>
    <w:rsid w:val="00BC5EA7"/>
    <w:pPr>
      <w:tabs>
        <w:tab w:val="clear" w:pos="794"/>
        <w:tab w:val="clear" w:pos="1191"/>
        <w:tab w:val="clear" w:pos="1588"/>
        <w:tab w:val="clear" w:pos="1985"/>
      </w:tabs>
      <w:spacing w:before="0" w:after="80"/>
    </w:pPr>
    <w:rPr>
      <w:rFonts w:ascii="Calibri" w:eastAsia="Calibri" w:hAnsi="Calibri" w:cs="Arial"/>
      <w:sz w:val="18"/>
      <w:szCs w:val="22"/>
      <w:lang w:val="en-US"/>
    </w:rPr>
  </w:style>
  <w:style w:type="table" w:customStyle="1" w:styleId="ListTable2-Accent51">
    <w:name w:val="List Table 2 - Accent 51"/>
    <w:basedOn w:val="TableNormal"/>
    <w:uiPriority w:val="47"/>
    <w:rsid w:val="00BC5E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5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C5EA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C5EA7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7"/>
    <w:rPr>
      <w:rFonts w:ascii="Segoe UI" w:eastAsia="SimSun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0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045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45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2622B"/>
    <w:pPr>
      <w:tabs>
        <w:tab w:val="clear" w:pos="794"/>
        <w:tab w:val="clear" w:pos="1191"/>
        <w:tab w:val="clear" w:pos="1588"/>
        <w:tab w:val="clear" w:pos="1985"/>
      </w:tabs>
      <w:spacing w:before="0" w:after="150" w:line="240" w:lineRule="atLeast"/>
    </w:pPr>
    <w:rPr>
      <w:rFonts w:ascii="Tahoma" w:eastAsia="Times New Roman" w:hAnsi="Tahoma" w:cs="Tahoma"/>
      <w:color w:val="000000"/>
      <w:szCs w:val="24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005848"/>
    <w:rPr>
      <w:rFonts w:ascii="Times New Roman" w:eastAsia="SimSun" w:hAnsi="Times New Roman" w:cs="Times New Roman"/>
      <w:sz w:val="24"/>
      <w:szCs w:val="20"/>
      <w:lang w:val="en-GB" w:eastAsia="en-US"/>
    </w:rPr>
  </w:style>
  <w:style w:type="table" w:customStyle="1" w:styleId="ListTable2-Accent510">
    <w:name w:val="List Table 2 - Accent 51"/>
    <w:basedOn w:val="TableNormal"/>
    <w:uiPriority w:val="47"/>
    <w:rsid w:val="002627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6274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91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918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lid-translation">
    <w:name w:val="tlid-translation"/>
    <w:basedOn w:val="DefaultParagraphFont"/>
    <w:rsid w:val="00740EC4"/>
  </w:style>
  <w:style w:type="paragraph" w:customStyle="1" w:styleId="Default">
    <w:name w:val="Default"/>
    <w:rsid w:val="008D7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2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90D0-D8EB-4767-9A74-5EC5E07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Awotar-Mauree, Rosheen</dc:creator>
  <cp:lastModifiedBy>Boris Jevric</cp:lastModifiedBy>
  <cp:revision>2</cp:revision>
  <cp:lastPrinted>2019-09-26T13:50:00Z</cp:lastPrinted>
  <dcterms:created xsi:type="dcterms:W3CDTF">2021-09-09T10:30:00Z</dcterms:created>
  <dcterms:modified xsi:type="dcterms:W3CDTF">2021-09-09T10:30:00Z</dcterms:modified>
</cp:coreProperties>
</file>